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345"/>
        <w:gridCol w:w="5727"/>
      </w:tblGrid>
      <w:tr w:rsidR="00C73FB2" w:rsidRPr="00C73FB2" w:rsidTr="00C73FB2">
        <w:trPr>
          <w:tblCellSpacing w:w="0" w:type="dxa"/>
        </w:trPr>
        <w:tc>
          <w:tcPr>
            <w:tcW w:w="3345" w:type="dxa"/>
            <w:hideMark/>
          </w:tcPr>
          <w:p w:rsidR="00C73FB2" w:rsidRPr="00C73FB2" w:rsidRDefault="00C73FB2" w:rsidP="00C73FB2">
            <w:pPr>
              <w:jc w:val="center"/>
              <w:rPr>
                <w:rFonts w:eastAsia="Times New Roman"/>
                <w:sz w:val="26"/>
              </w:rPr>
            </w:pPr>
            <w:r w:rsidRPr="00C73FB2">
              <w:rPr>
                <w:rFonts w:eastAsia="Times New Roman"/>
                <w:b/>
                <w:bCs/>
                <w:sz w:val="26"/>
              </w:rPr>
              <w:t>CHÍNH PHỦ</w:t>
            </w:r>
            <w:r w:rsidRPr="00C73FB2">
              <w:rPr>
                <w:rFonts w:eastAsia="Times New Roman"/>
                <w:b/>
                <w:bCs/>
                <w:sz w:val="26"/>
              </w:rPr>
              <w:br/>
              <w:t>-------</w:t>
            </w:r>
          </w:p>
        </w:tc>
        <w:tc>
          <w:tcPr>
            <w:tcW w:w="5727" w:type="dxa"/>
            <w:hideMark/>
          </w:tcPr>
          <w:p w:rsidR="00C73FB2" w:rsidRPr="00C73FB2" w:rsidRDefault="00C73FB2" w:rsidP="00C73FB2">
            <w:pPr>
              <w:jc w:val="center"/>
              <w:rPr>
                <w:rFonts w:eastAsia="Times New Roman"/>
                <w:sz w:val="26"/>
              </w:rPr>
            </w:pPr>
            <w:r w:rsidRPr="00C73FB2">
              <w:rPr>
                <w:rFonts w:eastAsia="Times New Roman"/>
                <w:b/>
                <w:bCs/>
                <w:sz w:val="26"/>
              </w:rPr>
              <w:t>CỘNG HÒA XÃ HỘI CHỦ NGHĨA VIỆT NAM</w:t>
            </w:r>
            <w:r w:rsidRPr="00C73FB2">
              <w:rPr>
                <w:rFonts w:eastAsia="Times New Roman"/>
                <w:b/>
                <w:bCs/>
                <w:sz w:val="26"/>
              </w:rPr>
              <w:br/>
              <w:t xml:space="preserve">Độc lập - Tự do - Hạnh phúc </w:t>
            </w:r>
            <w:r w:rsidRPr="00C73FB2">
              <w:rPr>
                <w:rFonts w:eastAsia="Times New Roman"/>
                <w:b/>
                <w:bCs/>
                <w:sz w:val="26"/>
              </w:rPr>
              <w:br/>
              <w:t>---------------</w:t>
            </w:r>
          </w:p>
        </w:tc>
      </w:tr>
      <w:tr w:rsidR="00C73FB2" w:rsidRPr="00C73FB2" w:rsidTr="00C73FB2">
        <w:trPr>
          <w:tblCellSpacing w:w="0" w:type="dxa"/>
        </w:trPr>
        <w:tc>
          <w:tcPr>
            <w:tcW w:w="3345" w:type="dxa"/>
            <w:hideMark/>
          </w:tcPr>
          <w:p w:rsidR="00C73FB2" w:rsidRPr="00C73FB2" w:rsidRDefault="00C73FB2" w:rsidP="00C73FB2">
            <w:pPr>
              <w:jc w:val="center"/>
              <w:rPr>
                <w:rFonts w:eastAsia="Times New Roman"/>
                <w:sz w:val="26"/>
              </w:rPr>
            </w:pPr>
            <w:r w:rsidRPr="00C73FB2">
              <w:rPr>
                <w:rFonts w:eastAsia="Times New Roman"/>
                <w:sz w:val="26"/>
              </w:rPr>
              <w:t xml:space="preserve">Số: </w:t>
            </w:r>
            <w:bookmarkStart w:id="0" w:name="_GoBack"/>
            <w:r w:rsidRPr="00C73FB2">
              <w:rPr>
                <w:rFonts w:eastAsia="Times New Roman"/>
                <w:sz w:val="26"/>
              </w:rPr>
              <w:t>42/2021/NĐ-CP</w:t>
            </w:r>
            <w:bookmarkEnd w:id="0"/>
          </w:p>
        </w:tc>
        <w:tc>
          <w:tcPr>
            <w:tcW w:w="5727" w:type="dxa"/>
            <w:hideMark/>
          </w:tcPr>
          <w:p w:rsidR="00C73FB2" w:rsidRPr="00C73FB2" w:rsidRDefault="00C73FB2" w:rsidP="00C73FB2">
            <w:pPr>
              <w:jc w:val="center"/>
              <w:rPr>
                <w:rFonts w:eastAsia="Times New Roman"/>
                <w:sz w:val="26"/>
              </w:rPr>
            </w:pPr>
            <w:r w:rsidRPr="00C73FB2">
              <w:rPr>
                <w:rFonts w:eastAsia="Times New Roman"/>
                <w:i/>
                <w:iCs/>
                <w:sz w:val="26"/>
              </w:rPr>
              <w:t>Hà Nội, ngày 31 tháng 3 năm 2021</w:t>
            </w:r>
          </w:p>
        </w:tc>
      </w:tr>
    </w:tbl>
    <w:p w:rsidR="00C73FB2" w:rsidRDefault="00C73FB2" w:rsidP="00C73FB2">
      <w:pPr>
        <w:jc w:val="left"/>
        <w:rPr>
          <w:rFonts w:eastAsia="Times New Roman"/>
        </w:rPr>
      </w:pPr>
      <w:r w:rsidRPr="00C73FB2">
        <w:rPr>
          <w:rFonts w:eastAsia="Times New Roman"/>
        </w:rPr>
        <w:t> </w:t>
      </w:r>
    </w:p>
    <w:p w:rsidR="00C73FB2" w:rsidRPr="00C73FB2" w:rsidRDefault="00C73FB2" w:rsidP="00C73FB2">
      <w:pPr>
        <w:jc w:val="left"/>
        <w:rPr>
          <w:rFonts w:eastAsia="Times New Roman"/>
        </w:rPr>
      </w:pPr>
    </w:p>
    <w:p w:rsidR="00C73FB2" w:rsidRPr="00C73FB2" w:rsidRDefault="00C73FB2" w:rsidP="00C73FB2">
      <w:pPr>
        <w:jc w:val="center"/>
        <w:rPr>
          <w:rFonts w:eastAsia="Times New Roman"/>
        </w:rPr>
      </w:pPr>
      <w:r w:rsidRPr="00C73FB2">
        <w:rPr>
          <w:rFonts w:eastAsia="Times New Roman"/>
          <w:b/>
          <w:bCs/>
        </w:rPr>
        <w:t>NGHỊ ĐỊNH</w:t>
      </w:r>
    </w:p>
    <w:p w:rsidR="00C73FB2" w:rsidRDefault="00C73FB2" w:rsidP="00C73FB2">
      <w:pPr>
        <w:jc w:val="center"/>
        <w:rPr>
          <w:rFonts w:eastAsia="Times New Roman"/>
        </w:rPr>
      </w:pPr>
      <w:r w:rsidRPr="00C73FB2">
        <w:rPr>
          <w:rFonts w:eastAsia="Times New Roman"/>
        </w:rPr>
        <w:t>QUY ĐỊNH VIỆC XÂY DỰNG CÔNG AN XÃ, THỊ TRẤN CHÍNH QUY</w:t>
      </w:r>
    </w:p>
    <w:p w:rsidR="00C73FB2" w:rsidRPr="00C73FB2" w:rsidRDefault="00C73FB2" w:rsidP="00C73FB2">
      <w:pPr>
        <w:jc w:val="center"/>
        <w:rPr>
          <w:rFonts w:eastAsia="Times New Roman"/>
        </w:rPr>
      </w:pPr>
    </w:p>
    <w:p w:rsidR="00C73FB2" w:rsidRPr="00C73FB2" w:rsidRDefault="00C73FB2" w:rsidP="00C73FB2">
      <w:pPr>
        <w:spacing w:before="120" w:after="120" w:line="22" w:lineRule="atLeast"/>
        <w:ind w:firstLine="567"/>
        <w:rPr>
          <w:rFonts w:eastAsia="Times New Roman"/>
        </w:rPr>
      </w:pPr>
      <w:r w:rsidRPr="00C73FB2">
        <w:rPr>
          <w:rFonts w:eastAsia="Times New Roman"/>
          <w:i/>
          <w:iCs/>
        </w:rPr>
        <w:t>Căn cứ Luật Tổ chức Chính phủ ngày 19 tháng 6 năm 2015; Luật sửa đổi, bổ sung một số điều của Luật Tổ chức Chính phủ và Luật Tổ chức chính quyền địa phương ngày 22 tháng 11 năm 2019;</w:t>
      </w:r>
    </w:p>
    <w:p w:rsidR="00C73FB2" w:rsidRPr="00C73FB2" w:rsidRDefault="00C73FB2" w:rsidP="00C73FB2">
      <w:pPr>
        <w:spacing w:before="120" w:after="120" w:line="22" w:lineRule="atLeast"/>
        <w:ind w:firstLine="567"/>
        <w:rPr>
          <w:rFonts w:eastAsia="Times New Roman"/>
        </w:rPr>
      </w:pPr>
      <w:r w:rsidRPr="00C73FB2">
        <w:rPr>
          <w:rFonts w:eastAsia="Times New Roman"/>
          <w:i/>
          <w:iCs/>
        </w:rPr>
        <w:t>Căn cứ Luật Công an nhân dân ngày 20 tháng 11 năm 2018;</w:t>
      </w:r>
    </w:p>
    <w:p w:rsidR="00C73FB2" w:rsidRPr="00C73FB2" w:rsidRDefault="00C73FB2" w:rsidP="00C73FB2">
      <w:pPr>
        <w:spacing w:before="120" w:after="120" w:line="22" w:lineRule="atLeast"/>
        <w:ind w:firstLine="567"/>
        <w:rPr>
          <w:rFonts w:eastAsia="Times New Roman"/>
        </w:rPr>
      </w:pPr>
      <w:r w:rsidRPr="00C73FB2">
        <w:rPr>
          <w:rFonts w:eastAsia="Times New Roman"/>
          <w:i/>
          <w:iCs/>
        </w:rPr>
        <w:t>Theo đề nghị của Bộ trưởng Bộ Công an;</w:t>
      </w:r>
    </w:p>
    <w:p w:rsidR="00C73FB2" w:rsidRPr="00C73FB2" w:rsidRDefault="00C73FB2" w:rsidP="00C73FB2">
      <w:pPr>
        <w:spacing w:before="120" w:after="120" w:line="22" w:lineRule="atLeast"/>
        <w:ind w:firstLine="567"/>
        <w:rPr>
          <w:rFonts w:eastAsia="Times New Roman"/>
        </w:rPr>
      </w:pPr>
      <w:r w:rsidRPr="00C73FB2">
        <w:rPr>
          <w:rFonts w:eastAsia="Times New Roman"/>
          <w:i/>
          <w:iCs/>
        </w:rPr>
        <w:t>Chính phủ ban hành Nghị định quy định việc xây dựng Công an xã, thị trấn chính quy.</w:t>
      </w:r>
    </w:p>
    <w:p w:rsidR="00C73FB2" w:rsidRPr="00C73FB2" w:rsidRDefault="00C73FB2" w:rsidP="00C73FB2">
      <w:pPr>
        <w:spacing w:before="120" w:after="120" w:line="22" w:lineRule="atLeast"/>
        <w:jc w:val="center"/>
        <w:rPr>
          <w:rFonts w:eastAsia="Times New Roman"/>
        </w:rPr>
      </w:pPr>
      <w:r w:rsidRPr="00C73FB2">
        <w:rPr>
          <w:rFonts w:eastAsia="Times New Roman"/>
          <w:b/>
          <w:bCs/>
        </w:rPr>
        <w:t>Chương I</w:t>
      </w:r>
    </w:p>
    <w:p w:rsidR="00C73FB2" w:rsidRDefault="00C73FB2" w:rsidP="00C73FB2">
      <w:pPr>
        <w:spacing w:before="120" w:after="120" w:line="22" w:lineRule="atLeast"/>
        <w:jc w:val="center"/>
        <w:rPr>
          <w:rFonts w:eastAsia="Times New Roman"/>
          <w:b/>
          <w:bCs/>
        </w:rPr>
      </w:pPr>
      <w:r w:rsidRPr="00C73FB2">
        <w:rPr>
          <w:rFonts w:eastAsia="Times New Roman"/>
          <w:b/>
          <w:bCs/>
        </w:rPr>
        <w:t>NHỮNG QUY ĐỊNH CHUNG</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1. Phạm vi điều chỉnh</w:t>
      </w:r>
    </w:p>
    <w:p w:rsidR="00C73FB2" w:rsidRPr="00C73FB2" w:rsidRDefault="00C73FB2" w:rsidP="00C73FB2">
      <w:pPr>
        <w:spacing w:before="120" w:after="120" w:line="22" w:lineRule="atLeast"/>
        <w:ind w:firstLine="567"/>
        <w:rPr>
          <w:rFonts w:eastAsia="Times New Roman"/>
        </w:rPr>
      </w:pPr>
      <w:r w:rsidRPr="00C73FB2">
        <w:rPr>
          <w:rFonts w:eastAsia="Times New Roman"/>
        </w:rPr>
        <w:t>Nghị định này quy định vị trí, thẩm quyền quyết định của tổ chức Công an xã, thị trấn chính quy (sau đây gọi chung là Công an xã chính quy); lộ trình thực hiện; quan hệ công tác, điều kiện bảo đảm hoạt động của Công an xã chính quy; trách nhiệm của các bộ, ngành; Ủy ban nhân dân các cấp trong xây dựng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2. Đối tượng áp dụng</w:t>
      </w:r>
    </w:p>
    <w:p w:rsidR="00C73FB2" w:rsidRPr="00C73FB2" w:rsidRDefault="00C73FB2" w:rsidP="00C73FB2">
      <w:pPr>
        <w:spacing w:before="120" w:after="120" w:line="22" w:lineRule="atLeast"/>
        <w:ind w:firstLine="567"/>
        <w:rPr>
          <w:rFonts w:eastAsia="Times New Roman"/>
        </w:rPr>
      </w:pPr>
      <w:r w:rsidRPr="00C73FB2">
        <w:rPr>
          <w:rFonts w:eastAsia="Times New Roman"/>
        </w:rPr>
        <w:t>Nghị định này áp dụng đối với Công an xã chính quy; các cơ quan, tổ chức, cá nhân có liên quan đến việc xây dựng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2. Vị trí của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Công an xã chính quy là Công an cấp cơ sở, bố trí ở các đơn vị hành chính xã, thị trấn, thuộc hệ thống tổ chức của Công an nhân dân; làm nòng cốt trong thực hiện nhiệm vụ bảo vệ an ninh quốc gia, bảo đảm trật tự, an toàn xã hội, đấu tranh phòng chống tội phạm và vi phạm pháp luật về an ninh quốc gia, trật tự, an toàn xã hội, xây dựng phong trào toàn dân bảo vệ an ninh Tổ quốc ở địa bàn xã, thị trấn.</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4. Nguyên tắc xây dựng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1. Việc xây dựng Công an xã chính quy bảo đảm không tăng biên chế của Bộ Công an đến năm 2021, có lộ trình và phù hợp với tình hình thực tế của địa phương.</w:t>
      </w:r>
    </w:p>
    <w:p w:rsidR="00C73FB2" w:rsidRPr="00C73FB2" w:rsidRDefault="00C73FB2" w:rsidP="00C73FB2">
      <w:pPr>
        <w:spacing w:before="120" w:after="120" w:line="22" w:lineRule="atLeast"/>
        <w:ind w:firstLine="567"/>
        <w:rPr>
          <w:rFonts w:eastAsia="Times New Roman"/>
        </w:rPr>
      </w:pPr>
      <w:r w:rsidRPr="00C73FB2">
        <w:rPr>
          <w:rFonts w:eastAsia="Times New Roman"/>
        </w:rPr>
        <w:lastRenderedPageBreak/>
        <w:t>2. Xây dựng Công an xã chính quy tại các địa bàn trọng điểm, phức tạp về an ninh, trật tự, tiến tới thực hiện thống nhất trong toàn quốc.</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5. Quan hệ công tác của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1. Trưởng Công an xã chịu sự chỉ huy, quản lý trực tiếp của Trưởng Công an cấp huyện về công tác bảo đảm an ninh, trật tự và xây dựng lực lượng Công an xã.</w:t>
      </w:r>
    </w:p>
    <w:p w:rsidR="00C73FB2" w:rsidRPr="00C73FB2" w:rsidRDefault="00C73FB2" w:rsidP="00C73FB2">
      <w:pPr>
        <w:spacing w:before="120" w:after="120" w:line="22" w:lineRule="atLeast"/>
        <w:ind w:firstLine="567"/>
        <w:rPr>
          <w:rFonts w:eastAsia="Times New Roman"/>
        </w:rPr>
      </w:pPr>
      <w:r w:rsidRPr="00C73FB2">
        <w:rPr>
          <w:rFonts w:eastAsia="Times New Roman"/>
        </w:rPr>
        <w:t>2. Trưởng Công an xã chịu sự lãnh đạo, chỉ đạo của Đảng ủy, Ủy ban nhân dân xã, sự giám sát của Hội đồng nhân dân cùng cấp về công tác bảo đảm an ninh, trật tự trên địa bàn.</w:t>
      </w:r>
    </w:p>
    <w:p w:rsidR="00C73FB2" w:rsidRPr="00C73FB2" w:rsidRDefault="00C73FB2" w:rsidP="00C73FB2">
      <w:pPr>
        <w:spacing w:before="120" w:after="120" w:line="22" w:lineRule="atLeast"/>
        <w:ind w:firstLine="567"/>
        <w:rPr>
          <w:rFonts w:eastAsia="Times New Roman"/>
        </w:rPr>
      </w:pPr>
      <w:r w:rsidRPr="00C73FB2">
        <w:rPr>
          <w:rFonts w:eastAsia="Times New Roman"/>
        </w:rPr>
        <w:t>3. Quan hệ giữa Công an xã với các cơ quan, tổ chức, đoàn thể trên địa bàn là quan hệ phối hợp, hướng dẫn thực hiện nhiệm vụ bảo đảm an ninh, trật tự.</w:t>
      </w:r>
    </w:p>
    <w:p w:rsidR="00C73FB2" w:rsidRPr="00C73FB2" w:rsidRDefault="00C73FB2" w:rsidP="00C73FB2">
      <w:pPr>
        <w:spacing w:before="120" w:after="120" w:line="22" w:lineRule="atLeast"/>
        <w:jc w:val="center"/>
        <w:rPr>
          <w:rFonts w:eastAsia="Times New Roman"/>
        </w:rPr>
      </w:pPr>
      <w:r w:rsidRPr="00C73FB2">
        <w:rPr>
          <w:rFonts w:eastAsia="Times New Roman"/>
          <w:b/>
          <w:bCs/>
        </w:rPr>
        <w:t>Chương II</w:t>
      </w:r>
    </w:p>
    <w:p w:rsidR="00C73FB2" w:rsidRDefault="00C73FB2" w:rsidP="00C73FB2">
      <w:pPr>
        <w:spacing w:before="120" w:after="120" w:line="22" w:lineRule="atLeast"/>
        <w:jc w:val="center"/>
        <w:rPr>
          <w:rFonts w:eastAsia="Times New Roman"/>
          <w:b/>
          <w:bCs/>
        </w:rPr>
      </w:pPr>
      <w:r w:rsidRPr="00C73FB2">
        <w:rPr>
          <w:rFonts w:eastAsia="Times New Roman"/>
          <w:b/>
          <w:bCs/>
        </w:rPr>
        <w:t>THẨM QUYỀN, LỘ TRÌNH VÀ ĐIỀU KIỆN BẢO ĐẢM HOẠT ĐỘNG ĐỐI VỚI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6. Thẩm quyền quyết định tổ chức Công an xã chính quy và lộ trình xây dựng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1. Bộ trưởng Bộ Công an quyết định tổ chức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2. Giám đốc Công an tỉnh, thành phố trực thuộc Trung ương trao đổi, thống nhất với Chủ tịch Ủy ban nhân dân cấp huyện trước khi báo cáo Chủ tịch Ủy ban nhân dân tỉnh, thành phố trực thuộc Trung ương trình Bộ trưởng Bộ Công an quyết định tổ chức Công an xã chính quy; bảo đảm ở mỗi xã, thị trấn có các chức danh: Trưởng Công an, Phó trưởng Công an, Công an viên.</w:t>
      </w:r>
    </w:p>
    <w:p w:rsidR="00C73FB2" w:rsidRPr="00C73FB2" w:rsidRDefault="00C73FB2" w:rsidP="00C73FB2">
      <w:pPr>
        <w:spacing w:before="120" w:after="120" w:line="22" w:lineRule="atLeast"/>
        <w:ind w:firstLine="567"/>
        <w:rPr>
          <w:rFonts w:eastAsia="Times New Roman"/>
        </w:rPr>
      </w:pPr>
      <w:r w:rsidRPr="00C73FB2">
        <w:rPr>
          <w:rFonts w:eastAsia="Times New Roman"/>
        </w:rPr>
        <w:t>3. Hoàn thành việc tổ chức Công an xã chính quy ở các xã, thị trấn trọng điểm, phức tạp về an ninh, trật tự trước ngày 30 tháng 6 năm 2021; các xã, thị trấn còn lại trong toàn quốc hoàn thành việc tổ chức Công an xã chính quy trước ngày 30 tháng 6 năm 2022.</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7. Nơi làm việc của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Công an xã có trụ sở hoặc nơi làm việc phù hợp với điều kiện kinh tế - xã hội của từng địa phương.</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8. Bảo đảm kinh phí về cơ sở vật chất và hoạt động của Công an xã chính quy</w:t>
      </w:r>
    </w:p>
    <w:p w:rsidR="00C73FB2" w:rsidRDefault="00C73FB2" w:rsidP="00C73FB2">
      <w:pPr>
        <w:spacing w:before="120" w:after="120" w:line="22" w:lineRule="atLeast"/>
        <w:ind w:firstLine="567"/>
        <w:rPr>
          <w:rFonts w:eastAsia="Times New Roman"/>
        </w:rPr>
      </w:pPr>
      <w:r w:rsidRPr="00C73FB2">
        <w:rPr>
          <w:rFonts w:eastAsia="Times New Roman"/>
        </w:rPr>
        <w:t>Kinh phí bảo đảm về cơ sở vật chất và hoạt động của Công an xã chính quy do ngân sách nhà nước đảm bảo và được sử dụng trong dự toán ngân sách nhà nước hàng năm của Bộ Công an và các bộ, cơ quan trung ương, các địa phương theo quy định về phân cấp ngân sách nhà nước hiện hành. Việc quản lý, sử dụng kinh phí từ ngân sách nhà nước thực hiện theo quy định của Luật Ngân sách nhà nước, Luật Đầu tư công và các văn bản hướng dẫn thi hành.</w:t>
      </w:r>
    </w:p>
    <w:p w:rsidR="00C73FB2" w:rsidRDefault="00C73FB2">
      <w:pPr>
        <w:rPr>
          <w:rFonts w:eastAsia="Times New Roman"/>
          <w:b/>
          <w:bCs/>
        </w:rPr>
      </w:pPr>
      <w:r>
        <w:rPr>
          <w:rFonts w:eastAsia="Times New Roman"/>
          <w:b/>
          <w:bCs/>
        </w:rPr>
        <w:br w:type="page"/>
      </w:r>
    </w:p>
    <w:p w:rsidR="00C73FB2" w:rsidRPr="00C73FB2" w:rsidRDefault="00C73FB2" w:rsidP="00C73FB2">
      <w:pPr>
        <w:spacing w:before="120" w:after="120" w:line="22" w:lineRule="atLeast"/>
        <w:jc w:val="center"/>
        <w:rPr>
          <w:rFonts w:eastAsia="Times New Roman"/>
        </w:rPr>
      </w:pPr>
      <w:r w:rsidRPr="00C73FB2">
        <w:rPr>
          <w:rFonts w:eastAsia="Times New Roman"/>
          <w:b/>
          <w:bCs/>
        </w:rPr>
        <w:lastRenderedPageBreak/>
        <w:t>Chương III</w:t>
      </w:r>
    </w:p>
    <w:p w:rsidR="00C73FB2" w:rsidRDefault="00C73FB2" w:rsidP="00C73FB2">
      <w:pPr>
        <w:spacing w:before="120" w:after="120" w:line="22" w:lineRule="atLeast"/>
        <w:jc w:val="center"/>
        <w:rPr>
          <w:rFonts w:eastAsia="Times New Roman"/>
          <w:b/>
          <w:bCs/>
        </w:rPr>
      </w:pPr>
      <w:r w:rsidRPr="00C73FB2">
        <w:rPr>
          <w:rFonts w:eastAsia="Times New Roman"/>
          <w:b/>
          <w:bCs/>
        </w:rPr>
        <w:t>TRÁCH NHIỆM CỦA CÁC BỘ, NGÀNH VÀ ỦY BAN NHÂN DÂN CÁC CẤP VỀ XÂY DỰNG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9. Trách nhiệm của Bộ Công an</w:t>
      </w:r>
    </w:p>
    <w:p w:rsidR="00C73FB2" w:rsidRPr="00C73FB2" w:rsidRDefault="00C73FB2" w:rsidP="00C73FB2">
      <w:pPr>
        <w:spacing w:before="120" w:after="120" w:line="22" w:lineRule="atLeast"/>
        <w:ind w:firstLine="567"/>
        <w:rPr>
          <w:rFonts w:eastAsia="Times New Roman"/>
        </w:rPr>
      </w:pPr>
      <w:r w:rsidRPr="00C73FB2">
        <w:rPr>
          <w:rFonts w:eastAsia="Times New Roman"/>
        </w:rPr>
        <w:t>1. Hướng dẫn, kiểm tra việc quản lý, xây dựng lực lượng, bảo đảm các điều kiện hoạt động và thực hiện chế độ, chính sách đối với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2. Trang bị phương tiện làm việc, vũ khí, công cụ hỗ trợ, trang thiết bị phục vụ công tác của Công an xã chính quy theo quy định của pháp luật.</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10. Trách nhiệm của các bộ, ngành trung ương</w:t>
      </w:r>
    </w:p>
    <w:p w:rsidR="00C73FB2" w:rsidRPr="00C73FB2" w:rsidRDefault="00C73FB2" w:rsidP="00C73FB2">
      <w:pPr>
        <w:spacing w:before="120" w:after="120" w:line="22" w:lineRule="atLeast"/>
        <w:ind w:firstLine="567"/>
        <w:rPr>
          <w:rFonts w:eastAsia="Times New Roman"/>
        </w:rPr>
      </w:pPr>
      <w:r w:rsidRPr="00C73FB2">
        <w:rPr>
          <w:rFonts w:eastAsia="Times New Roman"/>
        </w:rPr>
        <w:t>1. Bộ Nội vụ chủ trì, phối hợp với các bộ, ngành liên quan nghiên cứu đề xuất, sửa đổi các văn bản quy phạm pháp luật liên quan đến Công an xã bán chuyên trách khi tổ chức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2. Bộ Tài chính chủ trì phối hợp với các bộ, ngành liên quan bảo đảm kinh phí thực hiện nghị nghị định này theo quy định của Luật Ngân sách nhà nước.</w:t>
      </w:r>
    </w:p>
    <w:p w:rsidR="00C73FB2" w:rsidRPr="00C73FB2" w:rsidRDefault="00C73FB2" w:rsidP="00C73FB2">
      <w:pPr>
        <w:spacing w:before="120" w:after="120" w:line="22" w:lineRule="atLeast"/>
        <w:ind w:firstLine="567"/>
        <w:rPr>
          <w:rFonts w:eastAsia="Times New Roman"/>
        </w:rPr>
      </w:pPr>
      <w:r w:rsidRPr="00C73FB2">
        <w:rPr>
          <w:rFonts w:eastAsia="Times New Roman"/>
        </w:rPr>
        <w:t>3. Các bộ, cơ quan ngang bộ trong phạm vi nhiệm vụ, quyền hạn của mình có trách nhiệm phối hợp với Bộ Công an hướng dẫn các địa phương triển khai thực hiện việc xây dựng Công an xã chính quy; rà soát các quy định có liên quan đến ngành, lĩnh vực thuộc phạm vi quản lý cần sửa đổi, bổ sung hoặc ban hành mới để phù hợp với tổ chức và hoạt động của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11. Trách nhiệm của Ủy ban nhân dân các cấp</w:t>
      </w:r>
    </w:p>
    <w:p w:rsidR="00C73FB2" w:rsidRPr="00C73FB2" w:rsidRDefault="00C73FB2" w:rsidP="00C73FB2">
      <w:pPr>
        <w:spacing w:before="120" w:after="120" w:line="22" w:lineRule="atLeast"/>
        <w:ind w:firstLine="567"/>
        <w:rPr>
          <w:rFonts w:eastAsia="Times New Roman"/>
        </w:rPr>
      </w:pPr>
      <w:r w:rsidRPr="00C73FB2">
        <w:rPr>
          <w:rFonts w:eastAsia="Times New Roman"/>
        </w:rPr>
        <w:t>Ủy ban nhân dân các cấp, trong phạm vi nhiệm vụ, quyền hạn của mình có trách nhiệm:</w:t>
      </w:r>
    </w:p>
    <w:p w:rsidR="00C73FB2" w:rsidRPr="00C73FB2" w:rsidRDefault="00C73FB2" w:rsidP="00C73FB2">
      <w:pPr>
        <w:spacing w:before="120" w:after="120" w:line="22" w:lineRule="atLeast"/>
        <w:ind w:firstLine="567"/>
        <w:rPr>
          <w:rFonts w:eastAsia="Times New Roman"/>
        </w:rPr>
      </w:pPr>
      <w:r w:rsidRPr="00C73FB2">
        <w:rPr>
          <w:rFonts w:eastAsia="Times New Roman"/>
        </w:rPr>
        <w:t>1. Có phương án bố trí sắp xếp công tác hợp lý theo thẩm quyền đối với Công an xã bán chuyên trách để bổ nhiệm, điều động Công an chính quy thay thế.</w:t>
      </w:r>
    </w:p>
    <w:p w:rsidR="00C73FB2" w:rsidRPr="00C73FB2" w:rsidRDefault="00C73FB2" w:rsidP="00C73FB2">
      <w:pPr>
        <w:spacing w:before="120" w:after="120" w:line="22" w:lineRule="atLeast"/>
        <w:ind w:firstLine="567"/>
        <w:rPr>
          <w:rFonts w:eastAsia="Times New Roman"/>
        </w:rPr>
      </w:pPr>
      <w:r w:rsidRPr="00C73FB2">
        <w:rPr>
          <w:rFonts w:eastAsia="Times New Roman"/>
        </w:rPr>
        <w:t>2. Giải quyết chế độ, chính sách thôi việc đối với Công an xã bán chuyên trách khi bố trí Công an chính quy thay thế.</w:t>
      </w:r>
    </w:p>
    <w:p w:rsidR="00C73FB2" w:rsidRPr="00C73FB2" w:rsidRDefault="00C73FB2" w:rsidP="00C73FB2">
      <w:pPr>
        <w:spacing w:before="120" w:after="120" w:line="22" w:lineRule="atLeast"/>
        <w:ind w:firstLine="567"/>
        <w:rPr>
          <w:rFonts w:eastAsia="Times New Roman"/>
        </w:rPr>
      </w:pPr>
      <w:r w:rsidRPr="00C73FB2">
        <w:rPr>
          <w:rFonts w:eastAsia="Times New Roman"/>
        </w:rPr>
        <w:t>3. Bảo đảm trụ sở hoặc nơi làm việc; hỗ trợ ngân sách để đầu tư xây dựng, sửa chữa trụ sở hoặc nơi làm việc, sinh hoạt và trang thiết bị, phương tiện, các điều kiện bảo đảm khác phục vụ cho hoạt động của lực lượng Công an xã.</w:t>
      </w:r>
    </w:p>
    <w:p w:rsidR="00C73FB2" w:rsidRPr="00C73FB2" w:rsidRDefault="00C73FB2" w:rsidP="00C73FB2">
      <w:pPr>
        <w:spacing w:before="120" w:after="120" w:line="22" w:lineRule="atLeast"/>
        <w:jc w:val="center"/>
        <w:rPr>
          <w:rFonts w:eastAsia="Times New Roman"/>
        </w:rPr>
      </w:pPr>
      <w:r w:rsidRPr="00C73FB2">
        <w:rPr>
          <w:rFonts w:eastAsia="Times New Roman"/>
          <w:b/>
          <w:bCs/>
        </w:rPr>
        <w:t>Chương IV</w:t>
      </w:r>
    </w:p>
    <w:p w:rsidR="00C73FB2" w:rsidRDefault="00C73FB2" w:rsidP="00C73FB2">
      <w:pPr>
        <w:spacing w:before="120" w:after="120" w:line="22" w:lineRule="atLeast"/>
        <w:jc w:val="center"/>
        <w:rPr>
          <w:rFonts w:eastAsia="Times New Roman"/>
          <w:b/>
          <w:bCs/>
        </w:rPr>
      </w:pPr>
      <w:r w:rsidRPr="00C73FB2">
        <w:rPr>
          <w:rFonts w:eastAsia="Times New Roman"/>
          <w:b/>
          <w:bCs/>
        </w:rPr>
        <w:t>ĐIỀU KHOẢN THI HÀNH</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12. Điều khoản chuyển tiếp</w:t>
      </w:r>
    </w:p>
    <w:p w:rsidR="00C73FB2" w:rsidRPr="00C73FB2" w:rsidRDefault="00C73FB2" w:rsidP="00C73FB2">
      <w:pPr>
        <w:spacing w:before="120" w:after="120" w:line="22" w:lineRule="atLeast"/>
        <w:ind w:firstLine="567"/>
        <w:rPr>
          <w:rFonts w:eastAsia="Times New Roman"/>
        </w:rPr>
      </w:pPr>
      <w:r w:rsidRPr="00C73FB2">
        <w:rPr>
          <w:rFonts w:eastAsia="Times New Roman"/>
        </w:rPr>
        <w:t>1. Đối với xã, thị trấn đã tổ chức Công an chính quy, những trường hợp Công an xã bán chuyên trách được Ủy ban nhân dân các cấp đồng ý tiếp tục sử dụng tham gia bảo đảm an ninh, trật tự ở cơ sở thì được hưởng chế độ, chính sách theo quy định của Pháp lệnh Công an xã cho đến khi có văn bản quy phạm pháp luật khác.</w:t>
      </w:r>
    </w:p>
    <w:p w:rsidR="00C73FB2" w:rsidRPr="00C73FB2" w:rsidRDefault="00C73FB2" w:rsidP="00C73FB2">
      <w:pPr>
        <w:spacing w:before="120" w:after="120" w:line="22" w:lineRule="atLeast"/>
        <w:ind w:firstLine="567"/>
        <w:rPr>
          <w:rFonts w:eastAsia="Times New Roman"/>
        </w:rPr>
      </w:pPr>
      <w:r w:rsidRPr="00C73FB2">
        <w:rPr>
          <w:rFonts w:eastAsia="Times New Roman"/>
        </w:rPr>
        <w:lastRenderedPageBreak/>
        <w:t>2. Ủy ban nhân dân cấp tỉnh trình Hội đồng nhân dân cùng cấp quyết định về số lượng, mức phụ cấp đối với Công an xã bán chuyên trách khi tiếp tục được sử dụng tham gia bảo đảm an ninh, trật tự ở cơ sở từ ngân sách nhà nước; quyết định chi hỗ trợ thôi việc đối với Công an xã bán chuyên trách kết thúc nhiệm vụ mà không bố trí sắp xếp được công tác khác hoặc không tiếp tục tham gia bảo đảm an ninh, trật tự ở cơ sở theo các quy định hiện hành, phù hợp với khả năng ngân sách của địa phương; trong trường hợp địa phương không bố trí được nguồn ngân sách thì trung ương sẽ bổ sung kinh phí cho địa phương thực hiện theo Luật Ngân sách nhà nước.</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13. Hiệu lực thi hành</w:t>
      </w:r>
    </w:p>
    <w:p w:rsidR="00C73FB2" w:rsidRPr="00C73FB2" w:rsidRDefault="00C73FB2" w:rsidP="00C73FB2">
      <w:pPr>
        <w:spacing w:before="120" w:after="120" w:line="22" w:lineRule="atLeast"/>
        <w:ind w:firstLine="567"/>
        <w:rPr>
          <w:rFonts w:eastAsia="Times New Roman"/>
        </w:rPr>
      </w:pPr>
      <w:r w:rsidRPr="00C73FB2">
        <w:rPr>
          <w:rFonts w:eastAsia="Times New Roman"/>
        </w:rPr>
        <w:t>Nghị định này có hiệu lực từ ngày 16 tháng 5 năm 2021.</w:t>
      </w:r>
    </w:p>
    <w:p w:rsidR="00C73FB2" w:rsidRPr="00C73FB2" w:rsidRDefault="00C73FB2" w:rsidP="00C73FB2">
      <w:pPr>
        <w:spacing w:before="120" w:after="120" w:line="22" w:lineRule="atLeast"/>
        <w:ind w:firstLine="567"/>
        <w:rPr>
          <w:rFonts w:eastAsia="Times New Roman"/>
        </w:rPr>
      </w:pPr>
      <w:r w:rsidRPr="00C73FB2">
        <w:rPr>
          <w:rFonts w:eastAsia="Times New Roman"/>
          <w:b/>
          <w:bCs/>
        </w:rPr>
        <w:t>Điều 14. Trách nhiệm thi hành</w:t>
      </w:r>
    </w:p>
    <w:p w:rsidR="00C73FB2" w:rsidRPr="00C73FB2" w:rsidRDefault="00C73FB2" w:rsidP="00C73FB2">
      <w:pPr>
        <w:spacing w:before="120" w:after="120" w:line="22" w:lineRule="atLeast"/>
        <w:ind w:firstLine="567"/>
        <w:rPr>
          <w:rFonts w:eastAsia="Times New Roman"/>
        </w:rPr>
      </w:pPr>
      <w:r w:rsidRPr="00C73FB2">
        <w:rPr>
          <w:rFonts w:eastAsia="Times New Roman"/>
        </w:rPr>
        <w:t>1. Hội đồng nhân dân, Ủy ban Mặt trận Tổ quốc Việt Nam các cấp, các cơ quan, tổ chức và mọi công dân có trách nhiệm giám sát, giúp đỡ, tạo điều kiện để lực lượng Công an xã chính quy hoàn thành tốt nhiệm vụ của mình.</w:t>
      </w:r>
    </w:p>
    <w:p w:rsidR="00C73FB2" w:rsidRPr="00C73FB2" w:rsidRDefault="00C73FB2" w:rsidP="00C73FB2">
      <w:pPr>
        <w:spacing w:before="120" w:after="120" w:line="22" w:lineRule="atLeast"/>
        <w:ind w:firstLine="567"/>
        <w:rPr>
          <w:rFonts w:eastAsia="Times New Roman"/>
        </w:rPr>
      </w:pPr>
      <w:r w:rsidRPr="00C73FB2">
        <w:rPr>
          <w:rFonts w:eastAsia="Times New Roman"/>
        </w:rPr>
        <w:t>2. Bộ Công an có trách nhiệm giúp Chính phủ chỉ đạo, hướng dẫn, kiểm tra việc xây dựng lực lượng và hoạt động của Công an xã chính quy.</w:t>
      </w:r>
    </w:p>
    <w:p w:rsidR="00C73FB2" w:rsidRPr="00C73FB2" w:rsidRDefault="00C73FB2" w:rsidP="00C73FB2">
      <w:pPr>
        <w:spacing w:before="120" w:after="120" w:line="22" w:lineRule="atLeast"/>
        <w:ind w:firstLine="567"/>
        <w:rPr>
          <w:rFonts w:eastAsia="Times New Roman"/>
        </w:rPr>
      </w:pPr>
      <w:r w:rsidRPr="00C73FB2">
        <w:rPr>
          <w:rFonts w:eastAsia="Times New Roman"/>
        </w:rPr>
        <w:t>3. Các Bộ trưởng, Thủ trưởng cơ quan ngang bộ, Thủ trưởng cơ quan thuộc Chính phủ, cơ quan, tổ chức liên quan, Chủ tịch Ủy ban nhân dân tỉnh, thành phố trực thuộc trung ương chịu trách nhiệm thi hành Nghị định này./.</w:t>
      </w:r>
    </w:p>
    <w:p w:rsidR="00C73FB2" w:rsidRPr="00C73FB2" w:rsidRDefault="00C73FB2" w:rsidP="00C73FB2">
      <w:pPr>
        <w:jc w:val="left"/>
        <w:rPr>
          <w:rFonts w:eastAsia="Times New Roman"/>
          <w:sz w:val="24"/>
          <w:szCs w:val="24"/>
        </w:rPr>
      </w:pPr>
      <w:r w:rsidRPr="00C73FB2">
        <w:rPr>
          <w:rFonts w:eastAsia="Times New Roman"/>
          <w:sz w:val="24"/>
          <w:szCs w:val="24"/>
        </w:rPr>
        <w:t> </w:t>
      </w:r>
    </w:p>
    <w:tbl>
      <w:tblPr>
        <w:tblW w:w="5182" w:type="pct"/>
        <w:tblCellSpacing w:w="0" w:type="dxa"/>
        <w:tblCellMar>
          <w:left w:w="0" w:type="dxa"/>
          <w:right w:w="0" w:type="dxa"/>
        </w:tblCellMar>
        <w:tblLook w:val="04A0" w:firstRow="1" w:lastRow="0" w:firstColumn="1" w:lastColumn="0" w:noHBand="0" w:noVBand="1"/>
      </w:tblPr>
      <w:tblGrid>
        <w:gridCol w:w="5387"/>
        <w:gridCol w:w="4015"/>
      </w:tblGrid>
      <w:tr w:rsidR="00C73FB2" w:rsidRPr="00C73FB2" w:rsidTr="00C73FB2">
        <w:trPr>
          <w:tblCellSpacing w:w="0" w:type="dxa"/>
        </w:trPr>
        <w:tc>
          <w:tcPr>
            <w:tcW w:w="2865" w:type="pct"/>
            <w:hideMark/>
          </w:tcPr>
          <w:p w:rsidR="00C73FB2" w:rsidRPr="00C73FB2" w:rsidRDefault="00C73FB2" w:rsidP="00C73FB2">
            <w:pPr>
              <w:jc w:val="left"/>
              <w:rPr>
                <w:rFonts w:eastAsia="Times New Roman"/>
                <w:sz w:val="24"/>
                <w:szCs w:val="24"/>
              </w:rPr>
            </w:pPr>
            <w:r w:rsidRPr="00C73FB2">
              <w:rPr>
                <w:rFonts w:eastAsia="Times New Roman"/>
                <w:sz w:val="24"/>
                <w:szCs w:val="24"/>
              </w:rPr>
              <w:t> </w:t>
            </w:r>
            <w:r w:rsidRPr="00C73FB2">
              <w:rPr>
                <w:rFonts w:eastAsia="Times New Roman"/>
                <w:b/>
                <w:bCs/>
                <w:i/>
                <w:iCs/>
                <w:sz w:val="24"/>
                <w:szCs w:val="24"/>
              </w:rPr>
              <w:t xml:space="preserve">Nơi nhận: </w:t>
            </w:r>
            <w:r w:rsidRPr="00C73FB2">
              <w:rPr>
                <w:rFonts w:eastAsia="Times New Roman"/>
                <w:b/>
                <w:bCs/>
                <w:i/>
                <w:iCs/>
                <w:sz w:val="24"/>
                <w:szCs w:val="24"/>
              </w:rPr>
              <w:br/>
            </w:r>
            <w:r w:rsidRPr="00C73FB2">
              <w:rPr>
                <w:rFonts w:eastAsia="Times New Roman"/>
                <w:sz w:val="22"/>
                <w:szCs w:val="22"/>
              </w:rPr>
              <w:t xml:space="preserve">- Ban Bí thư Trung ương Đảng; </w:t>
            </w:r>
            <w:r w:rsidRPr="00C73FB2">
              <w:rPr>
                <w:rFonts w:eastAsia="Times New Roman"/>
                <w:sz w:val="22"/>
                <w:szCs w:val="22"/>
              </w:rPr>
              <w:br/>
              <w:t xml:space="preserve">- Thủ tướng, các Phó Thủ tướng Chính phủ; </w:t>
            </w:r>
            <w:r w:rsidRPr="00C73FB2">
              <w:rPr>
                <w:rFonts w:eastAsia="Times New Roman"/>
                <w:sz w:val="22"/>
                <w:szCs w:val="22"/>
              </w:rPr>
              <w:br/>
              <w:t xml:space="preserve">- Các bộ, cơ quan ngang bộ, cơ quan thuộc Chính phủ; </w:t>
            </w:r>
            <w:r w:rsidRPr="00C73FB2">
              <w:rPr>
                <w:rFonts w:eastAsia="Times New Roman"/>
                <w:sz w:val="22"/>
                <w:szCs w:val="22"/>
              </w:rPr>
              <w:br/>
              <w:t xml:space="preserve">- HĐND, UBND các tỉnh, thành phố trực thuộc trung ương; </w:t>
            </w:r>
            <w:r w:rsidRPr="00C73FB2">
              <w:rPr>
                <w:rFonts w:eastAsia="Times New Roman"/>
                <w:sz w:val="22"/>
                <w:szCs w:val="22"/>
              </w:rPr>
              <w:br/>
              <w:t xml:space="preserve">- Văn phòng Trung ương và các Ban của Đảng; </w:t>
            </w:r>
            <w:r w:rsidRPr="00C73FB2">
              <w:rPr>
                <w:rFonts w:eastAsia="Times New Roman"/>
                <w:sz w:val="22"/>
                <w:szCs w:val="22"/>
              </w:rPr>
              <w:br/>
              <w:t xml:space="preserve">- Văn phòng Tổng Bí thư; </w:t>
            </w:r>
            <w:r w:rsidRPr="00C73FB2">
              <w:rPr>
                <w:rFonts w:eastAsia="Times New Roman"/>
                <w:sz w:val="22"/>
                <w:szCs w:val="22"/>
              </w:rPr>
              <w:br/>
              <w:t xml:space="preserve">- Văn phòng Chủ tịch nước; </w:t>
            </w:r>
            <w:r w:rsidRPr="00C73FB2">
              <w:rPr>
                <w:rFonts w:eastAsia="Times New Roman"/>
                <w:sz w:val="22"/>
                <w:szCs w:val="22"/>
              </w:rPr>
              <w:br/>
              <w:t xml:space="preserve">- Hội đồng Dân tộc và các Ủy ban của Quốc hội; </w:t>
            </w:r>
            <w:r w:rsidRPr="00C73FB2">
              <w:rPr>
                <w:rFonts w:eastAsia="Times New Roman"/>
                <w:sz w:val="22"/>
                <w:szCs w:val="22"/>
              </w:rPr>
              <w:br/>
              <w:t xml:space="preserve">- Văn phòng Quốc hội; </w:t>
            </w:r>
            <w:r w:rsidRPr="00C73FB2">
              <w:rPr>
                <w:rFonts w:eastAsia="Times New Roman"/>
                <w:sz w:val="22"/>
                <w:szCs w:val="22"/>
              </w:rPr>
              <w:br/>
              <w:t>- Tòa án nhân dân tối cao;</w:t>
            </w:r>
            <w:r w:rsidRPr="00C73FB2">
              <w:rPr>
                <w:rFonts w:eastAsia="Times New Roman"/>
                <w:sz w:val="22"/>
                <w:szCs w:val="22"/>
              </w:rPr>
              <w:br/>
              <w:t xml:space="preserve">- Viện kiểm sát nhân dân tối cao; </w:t>
            </w:r>
            <w:r w:rsidRPr="00C73FB2">
              <w:rPr>
                <w:rFonts w:eastAsia="Times New Roman"/>
                <w:sz w:val="22"/>
                <w:szCs w:val="22"/>
              </w:rPr>
              <w:br/>
              <w:t xml:space="preserve">- Kiểm toán Nhà nước; </w:t>
            </w:r>
            <w:r w:rsidRPr="00C73FB2">
              <w:rPr>
                <w:rFonts w:eastAsia="Times New Roman"/>
                <w:sz w:val="22"/>
                <w:szCs w:val="22"/>
              </w:rPr>
              <w:br/>
              <w:t xml:space="preserve">- Ủy ban Giám sát tài chính Quốc gia; </w:t>
            </w:r>
            <w:r w:rsidRPr="00C73FB2">
              <w:rPr>
                <w:rFonts w:eastAsia="Times New Roman"/>
                <w:sz w:val="22"/>
                <w:szCs w:val="22"/>
              </w:rPr>
              <w:br/>
              <w:t xml:space="preserve">- Ngân hàng Chính sách xã hội; </w:t>
            </w:r>
            <w:r w:rsidRPr="00C73FB2">
              <w:rPr>
                <w:rFonts w:eastAsia="Times New Roman"/>
                <w:sz w:val="22"/>
                <w:szCs w:val="22"/>
              </w:rPr>
              <w:br/>
              <w:t xml:space="preserve">- Ngân hàng Phát triển Việt Nam; </w:t>
            </w:r>
            <w:r w:rsidRPr="00C73FB2">
              <w:rPr>
                <w:rFonts w:eastAsia="Times New Roman"/>
                <w:sz w:val="22"/>
                <w:szCs w:val="22"/>
              </w:rPr>
              <w:br/>
              <w:t xml:space="preserve">- Ủy ban Trung ương Mặt trận Tổ quốc Việt Nam; </w:t>
            </w:r>
            <w:r w:rsidRPr="00C73FB2">
              <w:rPr>
                <w:rFonts w:eastAsia="Times New Roman"/>
                <w:sz w:val="22"/>
                <w:szCs w:val="22"/>
              </w:rPr>
              <w:br/>
              <w:t xml:space="preserve">- Cơ quan Trung ương của các đoàn thể; </w:t>
            </w:r>
            <w:r w:rsidRPr="00C73FB2">
              <w:rPr>
                <w:rFonts w:eastAsia="Times New Roman"/>
                <w:sz w:val="22"/>
                <w:szCs w:val="22"/>
              </w:rPr>
              <w:br/>
              <w:t xml:space="preserve">- VPCP: BTCN, các PCN, Trợ lý TTg, TGĐ Cổng TTĐT, các Vụ, Cục, đơn vị trực thuộc, Công báo; </w:t>
            </w:r>
            <w:r w:rsidRPr="00C73FB2">
              <w:rPr>
                <w:rFonts w:eastAsia="Times New Roman"/>
                <w:sz w:val="22"/>
                <w:szCs w:val="22"/>
              </w:rPr>
              <w:br/>
            </w:r>
            <w:r w:rsidRPr="00C73FB2">
              <w:rPr>
                <w:rFonts w:eastAsia="Times New Roman"/>
                <w:sz w:val="24"/>
                <w:szCs w:val="24"/>
              </w:rPr>
              <w:t xml:space="preserve">- Lưu: VT, NC (2b). </w:t>
            </w:r>
          </w:p>
        </w:tc>
        <w:tc>
          <w:tcPr>
            <w:tcW w:w="2135" w:type="pct"/>
            <w:hideMark/>
          </w:tcPr>
          <w:p w:rsidR="00C73FB2" w:rsidRPr="00C73FB2" w:rsidRDefault="00C73FB2" w:rsidP="00C73FB2">
            <w:pPr>
              <w:jc w:val="center"/>
              <w:rPr>
                <w:rFonts w:eastAsia="Times New Roman"/>
                <w:sz w:val="24"/>
                <w:szCs w:val="24"/>
              </w:rPr>
            </w:pPr>
            <w:r w:rsidRPr="00C73FB2">
              <w:rPr>
                <w:rFonts w:eastAsia="Times New Roman"/>
                <w:b/>
                <w:bCs/>
                <w:sz w:val="24"/>
                <w:szCs w:val="24"/>
              </w:rPr>
              <w:t>TM. CHÍNH PHỦ</w:t>
            </w:r>
            <w:r w:rsidRPr="00C73FB2">
              <w:rPr>
                <w:rFonts w:eastAsia="Times New Roman"/>
                <w:b/>
                <w:bCs/>
                <w:sz w:val="24"/>
                <w:szCs w:val="24"/>
              </w:rPr>
              <w:br/>
              <w:t>THỦ TƯỚNG</w:t>
            </w:r>
            <w:r w:rsidRPr="00C73FB2">
              <w:rPr>
                <w:rFonts w:eastAsia="Times New Roman"/>
                <w:b/>
                <w:bCs/>
                <w:sz w:val="24"/>
                <w:szCs w:val="24"/>
              </w:rPr>
              <w:br/>
            </w:r>
            <w:r w:rsidRPr="00C73FB2">
              <w:rPr>
                <w:rFonts w:eastAsia="Times New Roman"/>
                <w:b/>
                <w:bCs/>
                <w:sz w:val="24"/>
                <w:szCs w:val="24"/>
              </w:rPr>
              <w:br/>
            </w:r>
            <w:r w:rsidRPr="00C73FB2">
              <w:rPr>
                <w:rFonts w:eastAsia="Times New Roman"/>
                <w:b/>
                <w:bCs/>
                <w:sz w:val="24"/>
                <w:szCs w:val="24"/>
              </w:rPr>
              <w:br/>
            </w:r>
            <w:r w:rsidRPr="00C73FB2">
              <w:rPr>
                <w:rFonts w:eastAsia="Times New Roman"/>
                <w:b/>
                <w:bCs/>
                <w:sz w:val="24"/>
                <w:szCs w:val="24"/>
              </w:rPr>
              <w:br/>
            </w:r>
            <w:r w:rsidRPr="00C73FB2">
              <w:rPr>
                <w:rFonts w:eastAsia="Times New Roman"/>
                <w:b/>
                <w:bCs/>
                <w:sz w:val="24"/>
                <w:szCs w:val="24"/>
              </w:rPr>
              <w:br/>
              <w:t>Nguyễn Xuân Phúc</w:t>
            </w:r>
          </w:p>
        </w:tc>
      </w:tr>
    </w:tbl>
    <w:p w:rsidR="00903EFF" w:rsidRDefault="00903EFF" w:rsidP="00C73FB2"/>
    <w:sectPr w:rsidR="00903EFF" w:rsidSect="00C73FB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B2"/>
    <w:rsid w:val="00903EFF"/>
    <w:rsid w:val="00C73FB2"/>
    <w:rsid w:val="00D2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1054"/>
  <w15:chartTrackingRefBased/>
  <w15:docId w15:val="{7ED1DBEE-D664-47AA-9F23-876610A5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FB2"/>
    <w:pPr>
      <w:spacing w:before="100" w:beforeAutospacing="1" w:after="100" w:afterAutospacing="1"/>
      <w:jc w:val="left"/>
    </w:pPr>
    <w:rPr>
      <w:rFonts w:eastAsia="Times New Roman"/>
      <w:sz w:val="24"/>
      <w:szCs w:val="24"/>
    </w:rPr>
  </w:style>
  <w:style w:type="paragraph" w:customStyle="1" w:styleId="vn3">
    <w:name w:val="vn_3"/>
    <w:basedOn w:val="Normal"/>
    <w:rsid w:val="00C73FB2"/>
    <w:pPr>
      <w:spacing w:before="100" w:beforeAutospacing="1" w:after="100" w:afterAutospacing="1"/>
      <w:jc w:val="left"/>
    </w:pPr>
    <w:rPr>
      <w:rFonts w:eastAsia="Times New Roman"/>
      <w:sz w:val="24"/>
      <w:szCs w:val="24"/>
    </w:rPr>
  </w:style>
  <w:style w:type="character" w:customStyle="1" w:styleId="vn4">
    <w:name w:val="vn_4"/>
    <w:basedOn w:val="DefaultParagraphFont"/>
    <w:rsid w:val="00C73FB2"/>
  </w:style>
  <w:style w:type="character" w:customStyle="1" w:styleId="vn7">
    <w:name w:val="vn_7"/>
    <w:basedOn w:val="DefaultParagraphFont"/>
    <w:rsid w:val="00C7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dc:creator>
  <cp:keywords/>
  <dc:description/>
  <cp:lastModifiedBy>quyen</cp:lastModifiedBy>
  <cp:revision>1</cp:revision>
  <dcterms:created xsi:type="dcterms:W3CDTF">2021-04-02T00:38:00Z</dcterms:created>
  <dcterms:modified xsi:type="dcterms:W3CDTF">2021-04-02T00:42:00Z</dcterms:modified>
</cp:coreProperties>
</file>